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BF4449" w:rsidP="00BF4449">
      <w:pPr>
        <w:pStyle w:val="NoSpacing"/>
        <w:jc w:val="center"/>
        <w:rPr>
          <w:rFonts w:ascii="Arial" w:hAnsi="Arial" w:cs="Arial"/>
          <w:b/>
          <w:sz w:val="18"/>
          <w:szCs w:val="18"/>
        </w:rPr>
      </w:pPr>
      <w:r>
        <w:rPr>
          <w:rFonts w:ascii="Arial" w:hAnsi="Arial" w:cs="Arial"/>
          <w:b/>
          <w:sz w:val="18"/>
          <w:szCs w:val="18"/>
        </w:rPr>
        <w:t>APROBADO SEGÚN RESOLUCIÓN NO. 0355 DEL 4 DE AB</w:t>
      </w:r>
      <w:r w:rsidR="006C60E5">
        <w:rPr>
          <w:rFonts w:ascii="Arial" w:hAnsi="Arial" w:cs="Arial"/>
          <w:b/>
          <w:sz w:val="18"/>
          <w:szCs w:val="18"/>
        </w:rPr>
        <w:t>RI</w:t>
      </w:r>
      <w:r>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A23F27">
        <w:rPr>
          <w:rFonts w:ascii="Arial" w:hAnsi="Arial" w:cs="Arial"/>
          <w:b/>
          <w:sz w:val="24"/>
        </w:rPr>
        <w:t>5</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 xml:space="preserve">(Mayo </w:t>
      </w:r>
      <w:r w:rsidR="00E9529B">
        <w:rPr>
          <w:rFonts w:ascii="Arial" w:hAnsi="Arial" w:cs="Arial"/>
          <w:sz w:val="24"/>
        </w:rPr>
        <w:t>1</w:t>
      </w:r>
      <w:r w:rsidR="00A23F27">
        <w:rPr>
          <w:rFonts w:ascii="Arial" w:hAnsi="Arial" w:cs="Arial"/>
          <w:sz w:val="24"/>
        </w:rPr>
        <w:t>5</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70039C">
        <w:rPr>
          <w:rFonts w:ascii="Arial" w:hAnsi="Arial" w:cs="Arial"/>
          <w:b/>
          <w:sz w:val="24"/>
        </w:rPr>
        <w:t>el control de pagos del primer semestre del 2018</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730575" w:rsidRDefault="00BF4449" w:rsidP="0070039C">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sidR="0070039C">
        <w:rPr>
          <w:rFonts w:ascii="Arial" w:hAnsi="Arial" w:cs="Arial"/>
        </w:rPr>
        <w:t>la resolución No. 0355 del 4 de abril del 2018, en su Art. 5 autoriza al Colegio Mahatma Gandhi de cobrar los costos educativos  compuestos de la siguiente manera:</w:t>
      </w:r>
    </w:p>
    <w:tbl>
      <w:tblPr>
        <w:tblpPr w:leftFromText="141" w:rightFromText="141" w:vertAnchor="text" w:tblpX="339"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9"/>
        <w:gridCol w:w="1942"/>
        <w:gridCol w:w="2244"/>
        <w:gridCol w:w="1591"/>
      </w:tblGrid>
      <w:tr w:rsidR="0070039C" w:rsidTr="0070039C">
        <w:trPr>
          <w:trHeight w:val="452"/>
        </w:trPr>
        <w:tc>
          <w:tcPr>
            <w:tcW w:w="2629" w:type="dxa"/>
          </w:tcPr>
          <w:p w:rsidR="0070039C" w:rsidRPr="0070039C" w:rsidRDefault="0070039C" w:rsidP="0070039C">
            <w:pPr>
              <w:pStyle w:val="NormalWeb"/>
              <w:spacing w:before="0" w:beforeAutospacing="0" w:after="150" w:afterAutospacing="0"/>
              <w:jc w:val="center"/>
              <w:rPr>
                <w:rFonts w:ascii="Arial" w:hAnsi="Arial" w:cs="Arial"/>
                <w:b/>
              </w:rPr>
            </w:pPr>
            <w:r w:rsidRPr="0070039C">
              <w:rPr>
                <w:rFonts w:ascii="Arial" w:hAnsi="Arial" w:cs="Arial"/>
                <w:b/>
              </w:rPr>
              <w:t>Básica</w:t>
            </w:r>
          </w:p>
        </w:tc>
        <w:tc>
          <w:tcPr>
            <w:tcW w:w="1942" w:type="dxa"/>
          </w:tcPr>
          <w:p w:rsidR="0070039C" w:rsidRPr="0070039C" w:rsidRDefault="0070039C" w:rsidP="0070039C">
            <w:pPr>
              <w:pStyle w:val="NormalWeb"/>
              <w:spacing w:before="0" w:beforeAutospacing="0" w:after="150" w:afterAutospacing="0"/>
              <w:jc w:val="center"/>
              <w:rPr>
                <w:rFonts w:ascii="Arial" w:hAnsi="Arial" w:cs="Arial"/>
                <w:b/>
              </w:rPr>
            </w:pPr>
            <w:r w:rsidRPr="0070039C">
              <w:rPr>
                <w:rFonts w:ascii="Arial" w:hAnsi="Arial" w:cs="Arial"/>
                <w:b/>
              </w:rPr>
              <w:t>Ciclos</w:t>
            </w:r>
          </w:p>
        </w:tc>
        <w:tc>
          <w:tcPr>
            <w:tcW w:w="2244" w:type="dxa"/>
          </w:tcPr>
          <w:p w:rsidR="0070039C" w:rsidRPr="0070039C" w:rsidRDefault="0070039C" w:rsidP="0070039C">
            <w:pPr>
              <w:pStyle w:val="NormalWeb"/>
              <w:spacing w:before="0" w:beforeAutospacing="0" w:after="150" w:afterAutospacing="0"/>
              <w:jc w:val="center"/>
              <w:rPr>
                <w:rFonts w:ascii="Arial" w:hAnsi="Arial" w:cs="Arial"/>
                <w:b/>
              </w:rPr>
            </w:pPr>
            <w:r w:rsidRPr="0070039C">
              <w:rPr>
                <w:rFonts w:ascii="Arial" w:hAnsi="Arial" w:cs="Arial"/>
                <w:b/>
              </w:rPr>
              <w:t>Matricula Anual</w:t>
            </w:r>
          </w:p>
        </w:tc>
        <w:tc>
          <w:tcPr>
            <w:tcW w:w="1591" w:type="dxa"/>
          </w:tcPr>
          <w:p w:rsidR="0070039C" w:rsidRPr="0070039C" w:rsidRDefault="0070039C" w:rsidP="0070039C">
            <w:pPr>
              <w:pStyle w:val="NormalWeb"/>
              <w:spacing w:before="0" w:beforeAutospacing="0" w:after="150" w:afterAutospacing="0"/>
              <w:jc w:val="center"/>
              <w:rPr>
                <w:rFonts w:ascii="Arial" w:hAnsi="Arial" w:cs="Arial"/>
                <w:b/>
              </w:rPr>
            </w:pPr>
            <w:r w:rsidRPr="0070039C">
              <w:rPr>
                <w:rFonts w:ascii="Arial" w:hAnsi="Arial" w:cs="Arial"/>
                <w:b/>
              </w:rPr>
              <w:t>Pensión Mensual</w:t>
            </w:r>
          </w:p>
        </w:tc>
      </w:tr>
      <w:tr w:rsidR="0070039C" w:rsidTr="0070039C">
        <w:trPr>
          <w:trHeight w:val="720"/>
        </w:trPr>
        <w:tc>
          <w:tcPr>
            <w:tcW w:w="2629" w:type="dxa"/>
          </w:tcPr>
          <w:p w:rsidR="0070039C" w:rsidRDefault="0070039C" w:rsidP="0070039C">
            <w:pPr>
              <w:pStyle w:val="NormalWeb"/>
              <w:spacing w:before="0" w:beforeAutospacing="0" w:after="150" w:afterAutospacing="0"/>
              <w:jc w:val="both"/>
              <w:rPr>
                <w:rFonts w:ascii="Arial" w:hAnsi="Arial" w:cs="Arial"/>
              </w:rPr>
            </w:pPr>
            <w:r>
              <w:rPr>
                <w:rFonts w:ascii="Arial" w:hAnsi="Arial" w:cs="Arial"/>
              </w:rPr>
              <w:t>Básica</w:t>
            </w:r>
          </w:p>
        </w:tc>
        <w:tc>
          <w:tcPr>
            <w:tcW w:w="1942"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I,II,III,IV</w:t>
            </w:r>
          </w:p>
        </w:tc>
        <w:tc>
          <w:tcPr>
            <w:tcW w:w="2244"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100.000</w:t>
            </w:r>
          </w:p>
        </w:tc>
        <w:tc>
          <w:tcPr>
            <w:tcW w:w="1591"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100.000</w:t>
            </w:r>
          </w:p>
        </w:tc>
      </w:tr>
      <w:tr w:rsidR="0070039C" w:rsidTr="0070039C">
        <w:trPr>
          <w:trHeight w:val="720"/>
        </w:trPr>
        <w:tc>
          <w:tcPr>
            <w:tcW w:w="2629" w:type="dxa"/>
          </w:tcPr>
          <w:p w:rsidR="0070039C" w:rsidRDefault="0070039C" w:rsidP="0070039C">
            <w:pPr>
              <w:pStyle w:val="NormalWeb"/>
              <w:spacing w:before="0" w:beforeAutospacing="0" w:after="150" w:afterAutospacing="0"/>
              <w:jc w:val="both"/>
              <w:rPr>
                <w:rFonts w:ascii="Arial" w:hAnsi="Arial" w:cs="Arial"/>
              </w:rPr>
            </w:pPr>
            <w:r>
              <w:rPr>
                <w:rFonts w:ascii="Arial" w:hAnsi="Arial" w:cs="Arial"/>
              </w:rPr>
              <w:t>Media Académica</w:t>
            </w:r>
          </w:p>
        </w:tc>
        <w:tc>
          <w:tcPr>
            <w:tcW w:w="1942"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V,VI</w:t>
            </w:r>
          </w:p>
        </w:tc>
        <w:tc>
          <w:tcPr>
            <w:tcW w:w="2244"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120.000 semestral</w:t>
            </w:r>
          </w:p>
        </w:tc>
        <w:tc>
          <w:tcPr>
            <w:tcW w:w="1591"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120.000</w:t>
            </w:r>
          </w:p>
        </w:tc>
      </w:tr>
    </w:tbl>
    <w:p w:rsidR="0070039C" w:rsidRPr="00C920D7" w:rsidRDefault="0070039C" w:rsidP="0070039C">
      <w:pPr>
        <w:pStyle w:val="NormalWeb"/>
        <w:shd w:val="clear" w:color="auto" w:fill="FFFFFF"/>
        <w:spacing w:before="0" w:beforeAutospacing="0" w:after="150" w:afterAutospacing="0"/>
        <w:jc w:val="both"/>
        <w:rPr>
          <w:rFonts w:ascii="Arial" w:hAnsi="Arial" w:cs="Arial"/>
        </w:rPr>
      </w:pPr>
    </w:p>
    <w:tbl>
      <w:tblPr>
        <w:tblpPr w:leftFromText="141" w:rightFromText="141" w:vertAnchor="text" w:tblpX="456"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92"/>
        <w:gridCol w:w="2780"/>
      </w:tblGrid>
      <w:tr w:rsidR="0070039C" w:rsidTr="0070039C">
        <w:trPr>
          <w:trHeight w:val="485"/>
        </w:trPr>
        <w:tc>
          <w:tcPr>
            <w:tcW w:w="8272" w:type="dxa"/>
            <w:gridSpan w:val="2"/>
          </w:tcPr>
          <w:p w:rsidR="0070039C" w:rsidRPr="0070039C" w:rsidRDefault="0070039C" w:rsidP="0070039C">
            <w:pPr>
              <w:pStyle w:val="NormalWeb"/>
              <w:spacing w:before="0" w:beforeAutospacing="0" w:after="150" w:afterAutospacing="0"/>
              <w:jc w:val="center"/>
              <w:rPr>
                <w:rFonts w:ascii="Arial" w:hAnsi="Arial" w:cs="Arial"/>
                <w:b/>
              </w:rPr>
            </w:pPr>
            <w:r w:rsidRPr="0070039C">
              <w:rPr>
                <w:rFonts w:ascii="Arial" w:hAnsi="Arial" w:cs="Arial"/>
                <w:b/>
              </w:rPr>
              <w:t>Otros Cobros</w:t>
            </w:r>
          </w:p>
        </w:tc>
      </w:tr>
      <w:tr w:rsidR="0070039C" w:rsidTr="0070039C">
        <w:trPr>
          <w:trHeight w:val="552"/>
        </w:trPr>
        <w:tc>
          <w:tcPr>
            <w:tcW w:w="5492" w:type="dxa"/>
          </w:tcPr>
          <w:p w:rsidR="0070039C" w:rsidRDefault="0070039C" w:rsidP="0070039C">
            <w:pPr>
              <w:pStyle w:val="NormalWeb"/>
              <w:spacing w:before="0" w:beforeAutospacing="0" w:after="150" w:afterAutospacing="0"/>
              <w:jc w:val="both"/>
              <w:rPr>
                <w:rFonts w:ascii="Arial" w:hAnsi="Arial" w:cs="Arial"/>
              </w:rPr>
            </w:pPr>
            <w:r>
              <w:rPr>
                <w:rFonts w:ascii="Arial" w:hAnsi="Arial" w:cs="Arial"/>
              </w:rPr>
              <w:t>Escuela de Padres</w:t>
            </w:r>
          </w:p>
        </w:tc>
        <w:tc>
          <w:tcPr>
            <w:tcW w:w="2780"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50.000</w:t>
            </w:r>
          </w:p>
        </w:tc>
      </w:tr>
      <w:tr w:rsidR="0070039C" w:rsidTr="0070039C">
        <w:trPr>
          <w:trHeight w:val="536"/>
        </w:trPr>
        <w:tc>
          <w:tcPr>
            <w:tcW w:w="5492" w:type="dxa"/>
          </w:tcPr>
          <w:p w:rsidR="0070039C" w:rsidRDefault="0070039C" w:rsidP="0070039C">
            <w:pPr>
              <w:pStyle w:val="NormalWeb"/>
              <w:spacing w:before="0" w:beforeAutospacing="0" w:after="150" w:afterAutospacing="0"/>
              <w:jc w:val="both"/>
              <w:rPr>
                <w:rFonts w:ascii="Arial" w:hAnsi="Arial" w:cs="Arial"/>
              </w:rPr>
            </w:pPr>
            <w:r>
              <w:rPr>
                <w:rFonts w:ascii="Arial" w:hAnsi="Arial" w:cs="Arial"/>
              </w:rPr>
              <w:t>Derechos Académicos (Buzo uniforme, carne, preparación ICFES, Guías y fotocopias de clase</w:t>
            </w:r>
          </w:p>
        </w:tc>
        <w:tc>
          <w:tcPr>
            <w:tcW w:w="2780" w:type="dxa"/>
          </w:tcPr>
          <w:p w:rsidR="0070039C" w:rsidRDefault="0070039C" w:rsidP="0070039C">
            <w:pPr>
              <w:pStyle w:val="NormalWeb"/>
              <w:spacing w:before="0" w:beforeAutospacing="0" w:after="150" w:afterAutospacing="0"/>
              <w:jc w:val="center"/>
              <w:rPr>
                <w:rFonts w:ascii="Arial" w:hAnsi="Arial" w:cs="Arial"/>
              </w:rPr>
            </w:pPr>
            <w:r>
              <w:rPr>
                <w:rFonts w:ascii="Arial" w:hAnsi="Arial" w:cs="Arial"/>
              </w:rPr>
              <w:t>130.000</w:t>
            </w:r>
          </w:p>
        </w:tc>
      </w:tr>
    </w:tbl>
    <w:p w:rsidR="00B40D74" w:rsidRDefault="00B40D74" w:rsidP="00C03802">
      <w:pPr>
        <w:pStyle w:val="NormalWeb"/>
        <w:shd w:val="clear" w:color="auto" w:fill="FFFFFF"/>
        <w:spacing w:before="0" w:beforeAutospacing="0" w:after="150" w:afterAutospacing="0"/>
        <w:jc w:val="both"/>
        <w:rPr>
          <w:rFonts w:ascii="Arial" w:hAnsi="Arial" w:cs="Arial"/>
        </w:rPr>
      </w:pPr>
    </w:p>
    <w:p w:rsidR="0070039C" w:rsidRDefault="00C81192"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Sin embargo teniendo en cuenta, que el primer semestre va desde 10 de mayo del 2018 al </w:t>
      </w:r>
      <w:r w:rsidR="00E22CEB">
        <w:rPr>
          <w:rFonts w:ascii="Arial" w:hAnsi="Arial" w:cs="Arial"/>
        </w:rPr>
        <w:t>15</w:t>
      </w:r>
      <w:r>
        <w:rPr>
          <w:rFonts w:ascii="Arial" w:hAnsi="Arial" w:cs="Arial"/>
        </w:rPr>
        <w:t xml:space="preserve"> de </w:t>
      </w:r>
      <w:r w:rsidR="00E22CEB">
        <w:rPr>
          <w:rFonts w:ascii="Arial" w:hAnsi="Arial" w:cs="Arial"/>
        </w:rPr>
        <w:t>Agosto</w:t>
      </w:r>
      <w:r>
        <w:rPr>
          <w:rFonts w:ascii="Arial" w:hAnsi="Arial" w:cs="Arial"/>
        </w:rPr>
        <w:t xml:space="preserve"> del 2018, los costos educativos se distribuirán así:</w:t>
      </w:r>
    </w:p>
    <w:p w:rsidR="00C81192" w:rsidRDefault="00C81192" w:rsidP="00C03802">
      <w:pPr>
        <w:pStyle w:val="NormalWeb"/>
        <w:shd w:val="clear" w:color="auto" w:fill="FFFFFF"/>
        <w:spacing w:before="0" w:beforeAutospacing="0" w:after="150" w:afterAutospacing="0"/>
        <w:jc w:val="both"/>
        <w:rPr>
          <w:rFonts w:ascii="Arial" w:hAnsi="Arial" w:cs="Arial"/>
        </w:rPr>
      </w:pPr>
    </w:p>
    <w:p w:rsidR="002B36FB" w:rsidRDefault="002B36FB" w:rsidP="00C03802">
      <w:pPr>
        <w:pStyle w:val="NormalWeb"/>
        <w:shd w:val="clear" w:color="auto" w:fill="FFFFFF"/>
        <w:spacing w:before="0" w:beforeAutospacing="0" w:after="150" w:afterAutospacing="0"/>
        <w:jc w:val="both"/>
        <w:rPr>
          <w:rFonts w:ascii="Arial" w:hAnsi="Arial" w:cs="Arial"/>
        </w:rPr>
      </w:pPr>
      <w:bookmarkStart w:id="0" w:name="_GoBack"/>
      <w:bookmarkEnd w:id="0"/>
    </w:p>
    <w:p w:rsidR="002B36FB" w:rsidRDefault="002B36FB" w:rsidP="00C03802">
      <w:pPr>
        <w:pStyle w:val="NormalWeb"/>
        <w:shd w:val="clear" w:color="auto" w:fill="FFFFFF"/>
        <w:spacing w:before="0" w:beforeAutospacing="0" w:after="150" w:afterAutospacing="0"/>
        <w:jc w:val="both"/>
        <w:rPr>
          <w:rFonts w:ascii="Arial" w:hAnsi="Arial" w:cs="Arial"/>
        </w:rPr>
      </w:pPr>
    </w:p>
    <w:p w:rsidR="002B36FB" w:rsidRDefault="002B36FB" w:rsidP="00C03802">
      <w:pPr>
        <w:pStyle w:val="NormalWeb"/>
        <w:shd w:val="clear" w:color="auto" w:fill="FFFFFF"/>
        <w:spacing w:before="0" w:beforeAutospacing="0" w:after="150" w:afterAutospacing="0"/>
        <w:jc w:val="both"/>
        <w:rPr>
          <w:rFonts w:ascii="Arial" w:hAnsi="Arial" w:cs="Arial"/>
        </w:rPr>
      </w:pPr>
    </w:p>
    <w:p w:rsidR="002B36FB" w:rsidRDefault="002B36FB" w:rsidP="00C03802">
      <w:pPr>
        <w:pStyle w:val="NormalWeb"/>
        <w:shd w:val="clear" w:color="auto" w:fill="FFFFFF"/>
        <w:spacing w:before="0" w:beforeAutospacing="0" w:after="150" w:afterAutospacing="0"/>
        <w:jc w:val="both"/>
        <w:rPr>
          <w:rFonts w:ascii="Arial" w:hAnsi="Arial" w:cs="Arial"/>
        </w:rPr>
      </w:pPr>
    </w:p>
    <w:p w:rsidR="002B36FB" w:rsidRDefault="002B36FB" w:rsidP="00C03802">
      <w:pPr>
        <w:pStyle w:val="NormalWeb"/>
        <w:shd w:val="clear" w:color="auto" w:fill="FFFFFF"/>
        <w:spacing w:before="0" w:beforeAutospacing="0" w:after="150" w:afterAutospacing="0"/>
        <w:jc w:val="both"/>
        <w:rPr>
          <w:rFonts w:ascii="Arial" w:hAnsi="Arial" w:cs="Arial"/>
        </w:rPr>
      </w:pPr>
    </w:p>
    <w:p w:rsidR="002B36FB" w:rsidRDefault="002B36FB" w:rsidP="00C03802">
      <w:pPr>
        <w:pStyle w:val="NormalWeb"/>
        <w:shd w:val="clear" w:color="auto" w:fill="FFFFFF"/>
        <w:spacing w:before="0" w:beforeAutospacing="0" w:after="150" w:afterAutospacing="0"/>
        <w:jc w:val="both"/>
        <w:rPr>
          <w:rFonts w:ascii="Arial" w:hAnsi="Arial" w:cs="Arial"/>
        </w:rPr>
      </w:pPr>
    </w:p>
    <w:p w:rsidR="00C81192" w:rsidRPr="002B36FB" w:rsidRDefault="00C81192" w:rsidP="00C03802">
      <w:pPr>
        <w:pStyle w:val="NormalWeb"/>
        <w:shd w:val="clear" w:color="auto" w:fill="FFFFFF"/>
        <w:spacing w:before="0" w:beforeAutospacing="0" w:after="150" w:afterAutospacing="0"/>
        <w:jc w:val="both"/>
        <w:rPr>
          <w:rFonts w:ascii="Arial" w:hAnsi="Arial" w:cs="Arial"/>
          <w:b/>
        </w:rPr>
      </w:pPr>
      <w:r w:rsidRPr="002B36FB">
        <w:rPr>
          <w:rFonts w:ascii="Arial" w:hAnsi="Arial" w:cs="Arial"/>
          <w:b/>
        </w:rPr>
        <w:lastRenderedPageBreak/>
        <w:t>Básica:</w:t>
      </w:r>
    </w:p>
    <w:tbl>
      <w:tblPr>
        <w:tblpPr w:leftFromText="141" w:rightFromText="141" w:vertAnchor="text" w:tblpX="88" w:tblpY="101"/>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276"/>
        <w:gridCol w:w="1417"/>
        <w:gridCol w:w="1276"/>
        <w:gridCol w:w="1418"/>
        <w:gridCol w:w="1417"/>
        <w:gridCol w:w="1417"/>
      </w:tblGrid>
      <w:tr w:rsidR="00C81192" w:rsidTr="00C81192">
        <w:trPr>
          <w:trHeight w:val="468"/>
        </w:trPr>
        <w:tc>
          <w:tcPr>
            <w:tcW w:w="1346" w:type="dxa"/>
          </w:tcPr>
          <w:p w:rsidR="00C81192" w:rsidRPr="00C81192" w:rsidRDefault="00C81192" w:rsidP="00C81192">
            <w:pPr>
              <w:pStyle w:val="NormalWeb"/>
              <w:spacing w:before="0" w:beforeAutospacing="0" w:after="150" w:afterAutospacing="0"/>
              <w:jc w:val="center"/>
              <w:rPr>
                <w:rFonts w:ascii="Arial" w:hAnsi="Arial" w:cs="Arial"/>
                <w:b/>
              </w:rPr>
            </w:pPr>
            <w:r w:rsidRPr="00C81192">
              <w:rPr>
                <w:rFonts w:ascii="Arial" w:hAnsi="Arial" w:cs="Arial"/>
                <w:b/>
              </w:rPr>
              <w:t>Matrícula</w:t>
            </w:r>
          </w:p>
        </w:tc>
        <w:tc>
          <w:tcPr>
            <w:tcW w:w="1276" w:type="dxa"/>
          </w:tcPr>
          <w:p w:rsidR="00C81192" w:rsidRPr="00C81192" w:rsidRDefault="00C81192" w:rsidP="00C81192">
            <w:pPr>
              <w:pStyle w:val="NormalWeb"/>
              <w:spacing w:before="0" w:beforeAutospacing="0" w:after="150" w:afterAutospacing="0"/>
              <w:jc w:val="center"/>
              <w:rPr>
                <w:rFonts w:ascii="Arial" w:hAnsi="Arial" w:cs="Arial"/>
                <w:b/>
              </w:rPr>
            </w:pPr>
            <w:r w:rsidRPr="00C81192">
              <w:rPr>
                <w:rFonts w:ascii="Arial" w:hAnsi="Arial" w:cs="Arial"/>
                <w:b/>
              </w:rPr>
              <w:t>Material Didáctico</w:t>
            </w:r>
          </w:p>
        </w:tc>
        <w:tc>
          <w:tcPr>
            <w:tcW w:w="1417" w:type="dxa"/>
          </w:tcPr>
          <w:p w:rsidR="00C81192" w:rsidRPr="00C81192" w:rsidRDefault="00C81192" w:rsidP="00C81192">
            <w:pPr>
              <w:pStyle w:val="NormalWeb"/>
              <w:spacing w:before="0" w:beforeAutospacing="0" w:after="150" w:afterAutospacing="0"/>
              <w:jc w:val="center"/>
              <w:rPr>
                <w:rFonts w:ascii="Arial" w:hAnsi="Arial" w:cs="Arial"/>
                <w:b/>
              </w:rPr>
            </w:pPr>
            <w:r w:rsidRPr="00C81192">
              <w:rPr>
                <w:rFonts w:ascii="Arial" w:hAnsi="Arial" w:cs="Arial"/>
                <w:b/>
              </w:rPr>
              <w:t>Pensión de Febrero</w:t>
            </w:r>
          </w:p>
        </w:tc>
        <w:tc>
          <w:tcPr>
            <w:tcW w:w="1276" w:type="dxa"/>
          </w:tcPr>
          <w:p w:rsidR="00C81192" w:rsidRPr="00C81192" w:rsidRDefault="00C81192" w:rsidP="00C81192">
            <w:pPr>
              <w:pStyle w:val="NormalWeb"/>
              <w:spacing w:before="0" w:beforeAutospacing="0" w:after="150" w:afterAutospacing="0"/>
              <w:jc w:val="center"/>
              <w:rPr>
                <w:rFonts w:ascii="Arial" w:hAnsi="Arial" w:cs="Arial"/>
                <w:b/>
              </w:rPr>
            </w:pPr>
            <w:r w:rsidRPr="00C81192">
              <w:rPr>
                <w:rFonts w:ascii="Arial" w:hAnsi="Arial" w:cs="Arial"/>
                <w:b/>
              </w:rPr>
              <w:t>Pensión de Marzo</w:t>
            </w:r>
          </w:p>
        </w:tc>
        <w:tc>
          <w:tcPr>
            <w:tcW w:w="1418" w:type="dxa"/>
          </w:tcPr>
          <w:p w:rsidR="00C81192" w:rsidRPr="00C81192" w:rsidRDefault="00C81192" w:rsidP="00C81192">
            <w:pPr>
              <w:pStyle w:val="NormalWeb"/>
              <w:spacing w:before="0" w:beforeAutospacing="0" w:after="150" w:afterAutospacing="0"/>
              <w:jc w:val="center"/>
              <w:rPr>
                <w:rFonts w:ascii="Arial" w:hAnsi="Arial" w:cs="Arial"/>
                <w:b/>
              </w:rPr>
            </w:pPr>
            <w:r w:rsidRPr="00C81192">
              <w:rPr>
                <w:rFonts w:ascii="Arial" w:hAnsi="Arial" w:cs="Arial"/>
                <w:b/>
              </w:rPr>
              <w:t>Pensión de Abril</w:t>
            </w:r>
          </w:p>
        </w:tc>
        <w:tc>
          <w:tcPr>
            <w:tcW w:w="1417" w:type="dxa"/>
          </w:tcPr>
          <w:p w:rsidR="00C81192" w:rsidRPr="00C81192" w:rsidRDefault="00C81192" w:rsidP="00C81192">
            <w:pPr>
              <w:pStyle w:val="NormalWeb"/>
              <w:spacing w:before="0" w:beforeAutospacing="0" w:after="150" w:afterAutospacing="0"/>
              <w:jc w:val="center"/>
              <w:rPr>
                <w:rFonts w:ascii="Arial" w:hAnsi="Arial" w:cs="Arial"/>
                <w:b/>
              </w:rPr>
            </w:pPr>
            <w:r w:rsidRPr="00C81192">
              <w:rPr>
                <w:rFonts w:ascii="Arial" w:hAnsi="Arial" w:cs="Arial"/>
                <w:b/>
              </w:rPr>
              <w:t>Pensión de Mayo</w:t>
            </w:r>
          </w:p>
        </w:tc>
        <w:tc>
          <w:tcPr>
            <w:tcW w:w="1417" w:type="dxa"/>
          </w:tcPr>
          <w:p w:rsidR="00C81192" w:rsidRPr="00C81192" w:rsidRDefault="00C81192" w:rsidP="00C81192">
            <w:pPr>
              <w:pStyle w:val="NormalWeb"/>
              <w:spacing w:before="0" w:beforeAutospacing="0" w:after="150" w:afterAutospacing="0"/>
              <w:jc w:val="center"/>
              <w:rPr>
                <w:rFonts w:ascii="Arial" w:hAnsi="Arial" w:cs="Arial"/>
                <w:b/>
              </w:rPr>
            </w:pPr>
            <w:r w:rsidRPr="00C81192">
              <w:rPr>
                <w:rFonts w:ascii="Arial" w:hAnsi="Arial" w:cs="Arial"/>
                <w:b/>
              </w:rPr>
              <w:t>Pensión de Junio</w:t>
            </w:r>
          </w:p>
        </w:tc>
      </w:tr>
      <w:tr w:rsidR="00C81192" w:rsidTr="00C81192">
        <w:trPr>
          <w:trHeight w:val="703"/>
        </w:trPr>
        <w:tc>
          <w:tcPr>
            <w:tcW w:w="1346" w:type="dxa"/>
          </w:tcPr>
          <w:p w:rsidR="00C81192" w:rsidRDefault="002B36FB" w:rsidP="00C81192">
            <w:pPr>
              <w:pStyle w:val="NormalWeb"/>
              <w:spacing w:before="0" w:beforeAutospacing="0" w:after="150" w:afterAutospacing="0"/>
              <w:jc w:val="both"/>
              <w:rPr>
                <w:rFonts w:ascii="Arial" w:hAnsi="Arial" w:cs="Arial"/>
              </w:rPr>
            </w:pPr>
            <w:r>
              <w:rPr>
                <w:rFonts w:ascii="Arial" w:hAnsi="Arial" w:cs="Arial"/>
              </w:rPr>
              <w:t>100.000</w:t>
            </w:r>
          </w:p>
        </w:tc>
        <w:tc>
          <w:tcPr>
            <w:tcW w:w="1276" w:type="dxa"/>
          </w:tcPr>
          <w:p w:rsidR="00C81192" w:rsidRDefault="002B36FB" w:rsidP="00C81192">
            <w:pPr>
              <w:pStyle w:val="NormalWeb"/>
              <w:spacing w:before="0" w:beforeAutospacing="0" w:after="150" w:afterAutospacing="0"/>
              <w:jc w:val="both"/>
              <w:rPr>
                <w:rFonts w:ascii="Arial" w:hAnsi="Arial" w:cs="Arial"/>
              </w:rPr>
            </w:pPr>
            <w:r>
              <w:rPr>
                <w:rFonts w:ascii="Arial" w:hAnsi="Arial" w:cs="Arial"/>
              </w:rPr>
              <w:t>130.000</w:t>
            </w:r>
          </w:p>
        </w:tc>
        <w:tc>
          <w:tcPr>
            <w:tcW w:w="1417" w:type="dxa"/>
          </w:tcPr>
          <w:p w:rsidR="00C81192" w:rsidRDefault="002B36FB" w:rsidP="00C81192">
            <w:pPr>
              <w:pStyle w:val="NormalWeb"/>
              <w:spacing w:before="0" w:beforeAutospacing="0" w:after="150" w:afterAutospacing="0"/>
              <w:jc w:val="both"/>
              <w:rPr>
                <w:rFonts w:ascii="Arial" w:hAnsi="Arial" w:cs="Arial"/>
              </w:rPr>
            </w:pPr>
            <w:r>
              <w:rPr>
                <w:rFonts w:ascii="Arial" w:hAnsi="Arial" w:cs="Arial"/>
              </w:rPr>
              <w:t>100.000</w:t>
            </w:r>
          </w:p>
        </w:tc>
        <w:tc>
          <w:tcPr>
            <w:tcW w:w="1276" w:type="dxa"/>
          </w:tcPr>
          <w:p w:rsidR="00C81192" w:rsidRDefault="002B36FB" w:rsidP="00C81192">
            <w:pPr>
              <w:pStyle w:val="NormalWeb"/>
              <w:spacing w:before="0" w:beforeAutospacing="0" w:after="150" w:afterAutospacing="0"/>
              <w:jc w:val="both"/>
              <w:rPr>
                <w:rFonts w:ascii="Arial" w:hAnsi="Arial" w:cs="Arial"/>
              </w:rPr>
            </w:pPr>
            <w:r>
              <w:rPr>
                <w:rFonts w:ascii="Arial" w:hAnsi="Arial" w:cs="Arial"/>
              </w:rPr>
              <w:t>100.000</w:t>
            </w:r>
          </w:p>
        </w:tc>
        <w:tc>
          <w:tcPr>
            <w:tcW w:w="1418" w:type="dxa"/>
          </w:tcPr>
          <w:p w:rsidR="00C81192" w:rsidRDefault="002B36FB" w:rsidP="00C81192">
            <w:pPr>
              <w:pStyle w:val="NormalWeb"/>
              <w:spacing w:before="0" w:beforeAutospacing="0" w:after="150" w:afterAutospacing="0"/>
              <w:jc w:val="both"/>
              <w:rPr>
                <w:rFonts w:ascii="Arial" w:hAnsi="Arial" w:cs="Arial"/>
              </w:rPr>
            </w:pPr>
            <w:r>
              <w:rPr>
                <w:rFonts w:ascii="Arial" w:hAnsi="Arial" w:cs="Arial"/>
              </w:rPr>
              <w:t>100.000</w:t>
            </w:r>
          </w:p>
        </w:tc>
        <w:tc>
          <w:tcPr>
            <w:tcW w:w="1417" w:type="dxa"/>
          </w:tcPr>
          <w:p w:rsidR="00C81192" w:rsidRDefault="002B36FB" w:rsidP="00C81192">
            <w:pPr>
              <w:pStyle w:val="NormalWeb"/>
              <w:spacing w:before="0" w:beforeAutospacing="0" w:after="150" w:afterAutospacing="0"/>
              <w:jc w:val="both"/>
              <w:rPr>
                <w:rFonts w:ascii="Arial" w:hAnsi="Arial" w:cs="Arial"/>
              </w:rPr>
            </w:pPr>
            <w:r>
              <w:rPr>
                <w:rFonts w:ascii="Arial" w:hAnsi="Arial" w:cs="Arial"/>
              </w:rPr>
              <w:t>100.000</w:t>
            </w:r>
          </w:p>
        </w:tc>
        <w:tc>
          <w:tcPr>
            <w:tcW w:w="1417" w:type="dxa"/>
          </w:tcPr>
          <w:p w:rsidR="00C81192" w:rsidRDefault="002B36FB" w:rsidP="00C81192">
            <w:pPr>
              <w:pStyle w:val="NormalWeb"/>
              <w:spacing w:before="0" w:beforeAutospacing="0" w:after="150" w:afterAutospacing="0"/>
              <w:jc w:val="both"/>
              <w:rPr>
                <w:rFonts w:ascii="Arial" w:hAnsi="Arial" w:cs="Arial"/>
              </w:rPr>
            </w:pPr>
            <w:r>
              <w:rPr>
                <w:rFonts w:ascii="Arial" w:hAnsi="Arial" w:cs="Arial"/>
              </w:rPr>
              <w:t>100.000</w:t>
            </w:r>
          </w:p>
        </w:tc>
      </w:tr>
      <w:tr w:rsidR="00C81192" w:rsidTr="00C81192">
        <w:trPr>
          <w:trHeight w:val="268"/>
        </w:trPr>
        <w:tc>
          <w:tcPr>
            <w:tcW w:w="1346" w:type="dxa"/>
          </w:tcPr>
          <w:p w:rsidR="00C81192" w:rsidRDefault="002B36FB" w:rsidP="00C81192">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10 de mayo al 19 de mayo del 2018</w:t>
            </w:r>
          </w:p>
        </w:tc>
        <w:tc>
          <w:tcPr>
            <w:tcW w:w="1276" w:type="dxa"/>
          </w:tcPr>
          <w:p w:rsidR="00C81192" w:rsidRDefault="002B36FB" w:rsidP="00C81192">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xml:space="preserve">: Del </w:t>
            </w:r>
          </w:p>
          <w:p w:rsidR="002B36FB" w:rsidRDefault="002B36FB" w:rsidP="002B36FB">
            <w:pPr>
              <w:pStyle w:val="NormalWeb"/>
              <w:spacing w:before="0" w:beforeAutospacing="0" w:after="150" w:afterAutospacing="0"/>
              <w:jc w:val="both"/>
              <w:rPr>
                <w:rFonts w:ascii="Arial" w:hAnsi="Arial" w:cs="Arial"/>
              </w:rPr>
            </w:pPr>
            <w:r>
              <w:rPr>
                <w:rFonts w:ascii="Arial" w:hAnsi="Arial" w:cs="Arial"/>
              </w:rPr>
              <w:t>10 de Mayo al 19 de Mayo</w:t>
            </w:r>
          </w:p>
        </w:tc>
        <w:tc>
          <w:tcPr>
            <w:tcW w:w="1417" w:type="dxa"/>
          </w:tcPr>
          <w:p w:rsidR="00C81192" w:rsidRDefault="002B36FB" w:rsidP="00C81192">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21 de mayo al 31 de mayo</w:t>
            </w:r>
          </w:p>
        </w:tc>
        <w:tc>
          <w:tcPr>
            <w:tcW w:w="1276" w:type="dxa"/>
          </w:tcPr>
          <w:p w:rsidR="00C81192" w:rsidRDefault="002B36FB" w:rsidP="002B36FB">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xml:space="preserve">: Del 4 al  16 de Junio. </w:t>
            </w:r>
          </w:p>
        </w:tc>
        <w:tc>
          <w:tcPr>
            <w:tcW w:w="1418" w:type="dxa"/>
          </w:tcPr>
          <w:p w:rsidR="00C81192" w:rsidRDefault="002B36FB" w:rsidP="00C81192">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 al 7 de Julio</w:t>
            </w:r>
          </w:p>
        </w:tc>
        <w:tc>
          <w:tcPr>
            <w:tcW w:w="1417" w:type="dxa"/>
          </w:tcPr>
          <w:p w:rsidR="00C81192" w:rsidRDefault="002B36FB" w:rsidP="00C81192">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23 de Julio al 4 de Agosto</w:t>
            </w:r>
          </w:p>
        </w:tc>
        <w:tc>
          <w:tcPr>
            <w:tcW w:w="1417" w:type="dxa"/>
          </w:tcPr>
          <w:p w:rsidR="00C81192" w:rsidRDefault="00454D76" w:rsidP="00C81192">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23 de Julio al 4 de Agosto</w:t>
            </w:r>
          </w:p>
        </w:tc>
      </w:tr>
    </w:tbl>
    <w:p w:rsidR="00C81192" w:rsidRDefault="00C81192" w:rsidP="00C03802">
      <w:pPr>
        <w:pStyle w:val="NormalWeb"/>
        <w:shd w:val="clear" w:color="auto" w:fill="FFFFFF"/>
        <w:spacing w:before="0" w:beforeAutospacing="0" w:after="150" w:afterAutospacing="0"/>
        <w:jc w:val="both"/>
        <w:rPr>
          <w:rFonts w:ascii="Arial" w:hAnsi="Arial" w:cs="Arial"/>
        </w:rPr>
      </w:pPr>
    </w:p>
    <w:p w:rsidR="00C81192" w:rsidRDefault="002B36FB"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Los derechos de grado para los estudiantes de grado 9°, tendrán un plazo desde el </w:t>
      </w:r>
      <w:r w:rsidR="00454D76">
        <w:rPr>
          <w:rFonts w:ascii="Arial" w:hAnsi="Arial" w:cs="Arial"/>
        </w:rPr>
        <w:t>10</w:t>
      </w:r>
      <w:r>
        <w:rPr>
          <w:rFonts w:ascii="Arial" w:hAnsi="Arial" w:cs="Arial"/>
        </w:rPr>
        <w:t xml:space="preserve"> al </w:t>
      </w:r>
      <w:r w:rsidR="00454D76">
        <w:rPr>
          <w:rFonts w:ascii="Arial" w:hAnsi="Arial" w:cs="Arial"/>
        </w:rPr>
        <w:t>15</w:t>
      </w:r>
      <w:r>
        <w:rPr>
          <w:rFonts w:ascii="Arial" w:hAnsi="Arial" w:cs="Arial"/>
        </w:rPr>
        <w:t xml:space="preserve"> de </w:t>
      </w:r>
      <w:r w:rsidR="00B86958">
        <w:rPr>
          <w:rFonts w:ascii="Arial" w:hAnsi="Arial" w:cs="Arial"/>
        </w:rPr>
        <w:t>Agosto</w:t>
      </w:r>
      <w:r>
        <w:rPr>
          <w:rFonts w:ascii="Arial" w:hAnsi="Arial" w:cs="Arial"/>
        </w:rPr>
        <w:t xml:space="preserve">, por un valor de $160.000 pesos. </w:t>
      </w:r>
    </w:p>
    <w:p w:rsidR="00C81192" w:rsidRDefault="00C81192" w:rsidP="00C03802">
      <w:pPr>
        <w:pStyle w:val="NormalWeb"/>
        <w:shd w:val="clear" w:color="auto" w:fill="FFFFFF"/>
        <w:spacing w:before="0" w:beforeAutospacing="0" w:after="150" w:afterAutospacing="0"/>
        <w:jc w:val="both"/>
        <w:rPr>
          <w:rFonts w:ascii="Arial" w:hAnsi="Arial" w:cs="Arial"/>
        </w:rPr>
      </w:pPr>
    </w:p>
    <w:p w:rsidR="00C81192" w:rsidRDefault="007D6F9A" w:rsidP="00C03802">
      <w:pPr>
        <w:pStyle w:val="NormalWeb"/>
        <w:shd w:val="clear" w:color="auto" w:fill="FFFFFF"/>
        <w:spacing w:before="0" w:beforeAutospacing="0" w:after="150" w:afterAutospacing="0"/>
        <w:jc w:val="both"/>
        <w:rPr>
          <w:rFonts w:ascii="Arial" w:hAnsi="Arial" w:cs="Arial"/>
        </w:rPr>
      </w:pPr>
      <w:r>
        <w:rPr>
          <w:rFonts w:ascii="Arial" w:hAnsi="Arial" w:cs="Arial"/>
        </w:rPr>
        <w:t>Media Académica:</w:t>
      </w:r>
    </w:p>
    <w:tbl>
      <w:tblPr>
        <w:tblpPr w:leftFromText="141" w:rightFromText="141" w:vertAnchor="text" w:tblpX="88" w:tblpY="101"/>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276"/>
        <w:gridCol w:w="1417"/>
        <w:gridCol w:w="1276"/>
        <w:gridCol w:w="1418"/>
        <w:gridCol w:w="1417"/>
        <w:gridCol w:w="1417"/>
      </w:tblGrid>
      <w:tr w:rsidR="007D6F9A" w:rsidTr="00145A4D">
        <w:trPr>
          <w:trHeight w:val="468"/>
        </w:trPr>
        <w:tc>
          <w:tcPr>
            <w:tcW w:w="1346" w:type="dxa"/>
          </w:tcPr>
          <w:p w:rsidR="007D6F9A" w:rsidRPr="00C81192" w:rsidRDefault="007D6F9A" w:rsidP="00145A4D">
            <w:pPr>
              <w:pStyle w:val="NormalWeb"/>
              <w:spacing w:before="0" w:beforeAutospacing="0" w:after="150" w:afterAutospacing="0"/>
              <w:jc w:val="center"/>
              <w:rPr>
                <w:rFonts w:ascii="Arial" w:hAnsi="Arial" w:cs="Arial"/>
                <w:b/>
              </w:rPr>
            </w:pPr>
            <w:r w:rsidRPr="00C81192">
              <w:rPr>
                <w:rFonts w:ascii="Arial" w:hAnsi="Arial" w:cs="Arial"/>
                <w:b/>
              </w:rPr>
              <w:t>Matrícula</w:t>
            </w:r>
          </w:p>
        </w:tc>
        <w:tc>
          <w:tcPr>
            <w:tcW w:w="1276" w:type="dxa"/>
          </w:tcPr>
          <w:p w:rsidR="007D6F9A" w:rsidRPr="00C81192" w:rsidRDefault="007D6F9A" w:rsidP="00145A4D">
            <w:pPr>
              <w:pStyle w:val="NormalWeb"/>
              <w:spacing w:before="0" w:beforeAutospacing="0" w:after="150" w:afterAutospacing="0"/>
              <w:jc w:val="center"/>
              <w:rPr>
                <w:rFonts w:ascii="Arial" w:hAnsi="Arial" w:cs="Arial"/>
                <w:b/>
              </w:rPr>
            </w:pPr>
            <w:r w:rsidRPr="00C81192">
              <w:rPr>
                <w:rFonts w:ascii="Arial" w:hAnsi="Arial" w:cs="Arial"/>
                <w:b/>
              </w:rPr>
              <w:t>Material Didáctico</w:t>
            </w:r>
          </w:p>
        </w:tc>
        <w:tc>
          <w:tcPr>
            <w:tcW w:w="1417" w:type="dxa"/>
          </w:tcPr>
          <w:p w:rsidR="007D6F9A" w:rsidRPr="00C81192" w:rsidRDefault="007D6F9A" w:rsidP="00145A4D">
            <w:pPr>
              <w:pStyle w:val="NormalWeb"/>
              <w:spacing w:before="0" w:beforeAutospacing="0" w:after="150" w:afterAutospacing="0"/>
              <w:jc w:val="center"/>
              <w:rPr>
                <w:rFonts w:ascii="Arial" w:hAnsi="Arial" w:cs="Arial"/>
                <w:b/>
              </w:rPr>
            </w:pPr>
            <w:r w:rsidRPr="00C81192">
              <w:rPr>
                <w:rFonts w:ascii="Arial" w:hAnsi="Arial" w:cs="Arial"/>
                <w:b/>
              </w:rPr>
              <w:t>Pensión de Febrero</w:t>
            </w:r>
          </w:p>
        </w:tc>
        <w:tc>
          <w:tcPr>
            <w:tcW w:w="1276" w:type="dxa"/>
          </w:tcPr>
          <w:p w:rsidR="007D6F9A" w:rsidRPr="00C81192" w:rsidRDefault="007D6F9A" w:rsidP="00145A4D">
            <w:pPr>
              <w:pStyle w:val="NormalWeb"/>
              <w:spacing w:before="0" w:beforeAutospacing="0" w:after="150" w:afterAutospacing="0"/>
              <w:jc w:val="center"/>
              <w:rPr>
                <w:rFonts w:ascii="Arial" w:hAnsi="Arial" w:cs="Arial"/>
                <w:b/>
              </w:rPr>
            </w:pPr>
            <w:r w:rsidRPr="00C81192">
              <w:rPr>
                <w:rFonts w:ascii="Arial" w:hAnsi="Arial" w:cs="Arial"/>
                <w:b/>
              </w:rPr>
              <w:t>Pensión de Marzo</w:t>
            </w:r>
          </w:p>
        </w:tc>
        <w:tc>
          <w:tcPr>
            <w:tcW w:w="1418" w:type="dxa"/>
          </w:tcPr>
          <w:p w:rsidR="007D6F9A" w:rsidRPr="00C81192" w:rsidRDefault="007D6F9A" w:rsidP="00145A4D">
            <w:pPr>
              <w:pStyle w:val="NormalWeb"/>
              <w:spacing w:before="0" w:beforeAutospacing="0" w:after="150" w:afterAutospacing="0"/>
              <w:jc w:val="center"/>
              <w:rPr>
                <w:rFonts w:ascii="Arial" w:hAnsi="Arial" w:cs="Arial"/>
                <w:b/>
              </w:rPr>
            </w:pPr>
            <w:r w:rsidRPr="00C81192">
              <w:rPr>
                <w:rFonts w:ascii="Arial" w:hAnsi="Arial" w:cs="Arial"/>
                <w:b/>
              </w:rPr>
              <w:t>Pensión de Abril</w:t>
            </w:r>
          </w:p>
        </w:tc>
        <w:tc>
          <w:tcPr>
            <w:tcW w:w="1417" w:type="dxa"/>
          </w:tcPr>
          <w:p w:rsidR="007D6F9A" w:rsidRPr="00C81192" w:rsidRDefault="007D6F9A" w:rsidP="00145A4D">
            <w:pPr>
              <w:pStyle w:val="NormalWeb"/>
              <w:spacing w:before="0" w:beforeAutospacing="0" w:after="150" w:afterAutospacing="0"/>
              <w:jc w:val="center"/>
              <w:rPr>
                <w:rFonts w:ascii="Arial" w:hAnsi="Arial" w:cs="Arial"/>
                <w:b/>
              </w:rPr>
            </w:pPr>
            <w:r w:rsidRPr="00C81192">
              <w:rPr>
                <w:rFonts w:ascii="Arial" w:hAnsi="Arial" w:cs="Arial"/>
                <w:b/>
              </w:rPr>
              <w:t>Pensión de Mayo</w:t>
            </w:r>
          </w:p>
        </w:tc>
        <w:tc>
          <w:tcPr>
            <w:tcW w:w="1417" w:type="dxa"/>
          </w:tcPr>
          <w:p w:rsidR="007D6F9A" w:rsidRPr="00C81192" w:rsidRDefault="007D6F9A" w:rsidP="00145A4D">
            <w:pPr>
              <w:pStyle w:val="NormalWeb"/>
              <w:spacing w:before="0" w:beforeAutospacing="0" w:after="150" w:afterAutospacing="0"/>
              <w:jc w:val="center"/>
              <w:rPr>
                <w:rFonts w:ascii="Arial" w:hAnsi="Arial" w:cs="Arial"/>
                <w:b/>
              </w:rPr>
            </w:pPr>
            <w:r w:rsidRPr="00C81192">
              <w:rPr>
                <w:rFonts w:ascii="Arial" w:hAnsi="Arial" w:cs="Arial"/>
                <w:b/>
              </w:rPr>
              <w:t>Pensión de Junio</w:t>
            </w:r>
          </w:p>
        </w:tc>
      </w:tr>
      <w:tr w:rsidR="007D6F9A" w:rsidTr="00145A4D">
        <w:trPr>
          <w:trHeight w:val="703"/>
        </w:trPr>
        <w:tc>
          <w:tcPr>
            <w:tcW w:w="1346" w:type="dxa"/>
          </w:tcPr>
          <w:p w:rsidR="007D6F9A" w:rsidRDefault="007D6F9A" w:rsidP="00145A4D">
            <w:pPr>
              <w:pStyle w:val="NormalWeb"/>
              <w:spacing w:before="0" w:beforeAutospacing="0" w:after="150" w:afterAutospacing="0"/>
              <w:jc w:val="both"/>
              <w:rPr>
                <w:rFonts w:ascii="Arial" w:hAnsi="Arial" w:cs="Arial"/>
              </w:rPr>
            </w:pPr>
            <w:r>
              <w:rPr>
                <w:rFonts w:ascii="Arial" w:hAnsi="Arial" w:cs="Arial"/>
              </w:rPr>
              <w:t>120.000</w:t>
            </w:r>
          </w:p>
        </w:tc>
        <w:tc>
          <w:tcPr>
            <w:tcW w:w="1276" w:type="dxa"/>
          </w:tcPr>
          <w:p w:rsidR="007D6F9A" w:rsidRDefault="007D6F9A" w:rsidP="00145A4D">
            <w:pPr>
              <w:pStyle w:val="NormalWeb"/>
              <w:spacing w:before="0" w:beforeAutospacing="0" w:after="150" w:afterAutospacing="0"/>
              <w:jc w:val="both"/>
              <w:rPr>
                <w:rFonts w:ascii="Arial" w:hAnsi="Arial" w:cs="Arial"/>
              </w:rPr>
            </w:pPr>
            <w:r>
              <w:rPr>
                <w:rFonts w:ascii="Arial" w:hAnsi="Arial" w:cs="Arial"/>
              </w:rPr>
              <w:t>130.000</w:t>
            </w:r>
          </w:p>
        </w:tc>
        <w:tc>
          <w:tcPr>
            <w:tcW w:w="1417" w:type="dxa"/>
          </w:tcPr>
          <w:p w:rsidR="007D6F9A" w:rsidRDefault="007D6F9A" w:rsidP="00145A4D">
            <w:pPr>
              <w:pStyle w:val="NormalWeb"/>
              <w:spacing w:before="0" w:beforeAutospacing="0" w:after="150" w:afterAutospacing="0"/>
              <w:jc w:val="both"/>
              <w:rPr>
                <w:rFonts w:ascii="Arial" w:hAnsi="Arial" w:cs="Arial"/>
              </w:rPr>
            </w:pPr>
            <w:r>
              <w:rPr>
                <w:rFonts w:ascii="Arial" w:hAnsi="Arial" w:cs="Arial"/>
              </w:rPr>
              <w:t>120.000</w:t>
            </w:r>
          </w:p>
        </w:tc>
        <w:tc>
          <w:tcPr>
            <w:tcW w:w="1276" w:type="dxa"/>
          </w:tcPr>
          <w:p w:rsidR="007D6F9A" w:rsidRDefault="007D6F9A" w:rsidP="00145A4D">
            <w:pPr>
              <w:pStyle w:val="NormalWeb"/>
              <w:spacing w:before="0" w:beforeAutospacing="0" w:after="150" w:afterAutospacing="0"/>
              <w:jc w:val="both"/>
              <w:rPr>
                <w:rFonts w:ascii="Arial" w:hAnsi="Arial" w:cs="Arial"/>
              </w:rPr>
            </w:pPr>
            <w:r>
              <w:rPr>
                <w:rFonts w:ascii="Arial" w:hAnsi="Arial" w:cs="Arial"/>
              </w:rPr>
              <w:t>120.000</w:t>
            </w:r>
          </w:p>
        </w:tc>
        <w:tc>
          <w:tcPr>
            <w:tcW w:w="1418" w:type="dxa"/>
          </w:tcPr>
          <w:p w:rsidR="007D6F9A" w:rsidRDefault="007D6F9A" w:rsidP="00145A4D">
            <w:pPr>
              <w:pStyle w:val="NormalWeb"/>
              <w:spacing w:before="0" w:beforeAutospacing="0" w:after="150" w:afterAutospacing="0"/>
              <w:jc w:val="both"/>
              <w:rPr>
                <w:rFonts w:ascii="Arial" w:hAnsi="Arial" w:cs="Arial"/>
              </w:rPr>
            </w:pPr>
            <w:r>
              <w:rPr>
                <w:rFonts w:ascii="Arial" w:hAnsi="Arial" w:cs="Arial"/>
              </w:rPr>
              <w:t>120.000</w:t>
            </w:r>
          </w:p>
        </w:tc>
        <w:tc>
          <w:tcPr>
            <w:tcW w:w="1417" w:type="dxa"/>
          </w:tcPr>
          <w:p w:rsidR="007D6F9A" w:rsidRDefault="007D6F9A" w:rsidP="00145A4D">
            <w:pPr>
              <w:pStyle w:val="NormalWeb"/>
              <w:spacing w:before="0" w:beforeAutospacing="0" w:after="150" w:afterAutospacing="0"/>
              <w:jc w:val="both"/>
              <w:rPr>
                <w:rFonts w:ascii="Arial" w:hAnsi="Arial" w:cs="Arial"/>
              </w:rPr>
            </w:pPr>
            <w:r>
              <w:rPr>
                <w:rFonts w:ascii="Arial" w:hAnsi="Arial" w:cs="Arial"/>
              </w:rPr>
              <w:t>120.000</w:t>
            </w:r>
          </w:p>
        </w:tc>
        <w:tc>
          <w:tcPr>
            <w:tcW w:w="1417" w:type="dxa"/>
          </w:tcPr>
          <w:p w:rsidR="007D6F9A" w:rsidRDefault="007D6F9A" w:rsidP="00145A4D">
            <w:pPr>
              <w:pStyle w:val="NormalWeb"/>
              <w:spacing w:before="0" w:beforeAutospacing="0" w:after="150" w:afterAutospacing="0"/>
              <w:jc w:val="both"/>
              <w:rPr>
                <w:rFonts w:ascii="Arial" w:hAnsi="Arial" w:cs="Arial"/>
              </w:rPr>
            </w:pPr>
            <w:r>
              <w:rPr>
                <w:rFonts w:ascii="Arial" w:hAnsi="Arial" w:cs="Arial"/>
              </w:rPr>
              <w:t>120.000</w:t>
            </w:r>
          </w:p>
        </w:tc>
      </w:tr>
      <w:tr w:rsidR="007D6F9A" w:rsidTr="00145A4D">
        <w:trPr>
          <w:trHeight w:val="268"/>
        </w:trPr>
        <w:tc>
          <w:tcPr>
            <w:tcW w:w="1346" w:type="dxa"/>
          </w:tcPr>
          <w:p w:rsidR="007D6F9A" w:rsidRDefault="007D6F9A" w:rsidP="00145A4D">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10 de mayo al 19 de mayo del 2018</w:t>
            </w:r>
          </w:p>
        </w:tc>
        <w:tc>
          <w:tcPr>
            <w:tcW w:w="1276" w:type="dxa"/>
          </w:tcPr>
          <w:p w:rsidR="007D6F9A" w:rsidRDefault="007D6F9A" w:rsidP="00145A4D">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xml:space="preserve">: Del </w:t>
            </w:r>
          </w:p>
          <w:p w:rsidR="007D6F9A" w:rsidRDefault="007D6F9A" w:rsidP="00145A4D">
            <w:pPr>
              <w:pStyle w:val="NormalWeb"/>
              <w:spacing w:before="0" w:beforeAutospacing="0" w:after="150" w:afterAutospacing="0"/>
              <w:jc w:val="both"/>
              <w:rPr>
                <w:rFonts w:ascii="Arial" w:hAnsi="Arial" w:cs="Arial"/>
              </w:rPr>
            </w:pPr>
            <w:r>
              <w:rPr>
                <w:rFonts w:ascii="Arial" w:hAnsi="Arial" w:cs="Arial"/>
              </w:rPr>
              <w:t>10 de Mayo al 19 de Mayo</w:t>
            </w:r>
          </w:p>
        </w:tc>
        <w:tc>
          <w:tcPr>
            <w:tcW w:w="1417" w:type="dxa"/>
          </w:tcPr>
          <w:p w:rsidR="007D6F9A" w:rsidRDefault="007D6F9A" w:rsidP="00145A4D">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21 de mayo al 31 de mayo</w:t>
            </w:r>
          </w:p>
        </w:tc>
        <w:tc>
          <w:tcPr>
            <w:tcW w:w="1276" w:type="dxa"/>
          </w:tcPr>
          <w:p w:rsidR="007D6F9A" w:rsidRDefault="007D6F9A" w:rsidP="00145A4D">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xml:space="preserve">: Del 4 al  16 de Junio. </w:t>
            </w:r>
          </w:p>
        </w:tc>
        <w:tc>
          <w:tcPr>
            <w:tcW w:w="1418" w:type="dxa"/>
          </w:tcPr>
          <w:p w:rsidR="007D6F9A" w:rsidRDefault="007D6F9A" w:rsidP="00145A4D">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 al 7 de Julio</w:t>
            </w:r>
          </w:p>
        </w:tc>
        <w:tc>
          <w:tcPr>
            <w:tcW w:w="1417" w:type="dxa"/>
          </w:tcPr>
          <w:p w:rsidR="007D6F9A" w:rsidRDefault="007D6F9A" w:rsidP="00145A4D">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23 de Julio al 4 de Agosto</w:t>
            </w:r>
          </w:p>
        </w:tc>
        <w:tc>
          <w:tcPr>
            <w:tcW w:w="1417" w:type="dxa"/>
          </w:tcPr>
          <w:p w:rsidR="007D6F9A" w:rsidRDefault="00454D76" w:rsidP="00145A4D">
            <w:pPr>
              <w:pStyle w:val="NormalWeb"/>
              <w:spacing w:before="0" w:beforeAutospacing="0" w:after="150" w:afterAutospacing="0"/>
              <w:jc w:val="both"/>
              <w:rPr>
                <w:rFonts w:ascii="Arial" w:hAnsi="Arial" w:cs="Arial"/>
              </w:rPr>
            </w:pPr>
            <w:r w:rsidRPr="002B36FB">
              <w:rPr>
                <w:rFonts w:ascii="Arial" w:hAnsi="Arial" w:cs="Arial"/>
                <w:b/>
              </w:rPr>
              <w:t>Plazo</w:t>
            </w:r>
            <w:r>
              <w:rPr>
                <w:rFonts w:ascii="Arial" w:hAnsi="Arial" w:cs="Arial"/>
              </w:rPr>
              <w:t>: Del 23 de Julio al 4 de Agosto</w:t>
            </w:r>
          </w:p>
        </w:tc>
      </w:tr>
    </w:tbl>
    <w:p w:rsidR="007D6F9A" w:rsidRDefault="007D6F9A" w:rsidP="00C03802">
      <w:pPr>
        <w:pStyle w:val="NormalWeb"/>
        <w:shd w:val="clear" w:color="auto" w:fill="FFFFFF"/>
        <w:spacing w:before="0" w:beforeAutospacing="0" w:after="150" w:afterAutospacing="0"/>
        <w:jc w:val="both"/>
        <w:rPr>
          <w:rFonts w:ascii="Arial" w:hAnsi="Arial" w:cs="Arial"/>
        </w:rPr>
      </w:pPr>
    </w:p>
    <w:p w:rsidR="008406AC" w:rsidRDefault="008406AC" w:rsidP="008406AC">
      <w:pPr>
        <w:pStyle w:val="NormalWeb"/>
        <w:shd w:val="clear" w:color="auto" w:fill="FFFFFF"/>
        <w:spacing w:before="0" w:beforeAutospacing="0" w:after="150" w:afterAutospacing="0"/>
        <w:jc w:val="both"/>
        <w:rPr>
          <w:rFonts w:ascii="Arial" w:hAnsi="Arial" w:cs="Arial"/>
        </w:rPr>
      </w:pPr>
      <w:r>
        <w:rPr>
          <w:rFonts w:ascii="Arial" w:hAnsi="Arial" w:cs="Arial"/>
        </w:rPr>
        <w:t>Los derechos de grado para los estudiantes de grado 11</w:t>
      </w:r>
      <w:r w:rsidR="00454D76">
        <w:rPr>
          <w:rFonts w:ascii="Arial" w:hAnsi="Arial" w:cs="Arial"/>
        </w:rPr>
        <w:t>°, tendrán un plazo desde el 10</w:t>
      </w:r>
      <w:r>
        <w:rPr>
          <w:rFonts w:ascii="Arial" w:hAnsi="Arial" w:cs="Arial"/>
        </w:rPr>
        <w:t xml:space="preserve"> al </w:t>
      </w:r>
      <w:r w:rsidR="00454D76">
        <w:rPr>
          <w:rFonts w:ascii="Arial" w:hAnsi="Arial" w:cs="Arial"/>
        </w:rPr>
        <w:t xml:space="preserve">15 </w:t>
      </w:r>
      <w:r w:rsidR="00B86958">
        <w:rPr>
          <w:rFonts w:ascii="Arial" w:hAnsi="Arial" w:cs="Arial"/>
        </w:rPr>
        <w:t>de Agosto</w:t>
      </w:r>
      <w:r>
        <w:rPr>
          <w:rFonts w:ascii="Arial" w:hAnsi="Arial" w:cs="Arial"/>
        </w:rPr>
        <w:t xml:space="preserve">, por un valor de $160.000 pesos. </w:t>
      </w:r>
    </w:p>
    <w:p w:rsidR="00EF2460" w:rsidRDefault="00EF2460" w:rsidP="008406AC">
      <w:pPr>
        <w:pStyle w:val="NormalWeb"/>
        <w:shd w:val="clear" w:color="auto" w:fill="FFFFFF"/>
        <w:spacing w:before="0" w:beforeAutospacing="0" w:after="150" w:afterAutospacing="0"/>
        <w:jc w:val="both"/>
        <w:rPr>
          <w:rFonts w:ascii="Arial" w:hAnsi="Arial" w:cs="Arial"/>
        </w:rPr>
      </w:pPr>
    </w:p>
    <w:p w:rsidR="00EF2460" w:rsidRDefault="00EF2460" w:rsidP="008406AC">
      <w:pPr>
        <w:pStyle w:val="NormalWeb"/>
        <w:shd w:val="clear" w:color="auto" w:fill="FFFFFF"/>
        <w:spacing w:before="0" w:beforeAutospacing="0" w:after="150" w:afterAutospacing="0"/>
        <w:jc w:val="both"/>
        <w:rPr>
          <w:rFonts w:ascii="Arial" w:hAnsi="Arial" w:cs="Arial"/>
        </w:rPr>
      </w:pPr>
      <w:r>
        <w:rPr>
          <w:rFonts w:ascii="Arial" w:hAnsi="Arial" w:cs="Arial"/>
        </w:rPr>
        <w:t xml:space="preserve">Finalmente, las personas egresadas, que decidieron voluntariamente repetir el grado 11°, se sostendrán el argumento de la resolución No. 004 del “no pago de ningún costo educativo”. </w:t>
      </w:r>
    </w:p>
    <w:p w:rsidR="00EF2460" w:rsidRDefault="00EF2460" w:rsidP="008406AC">
      <w:pPr>
        <w:pStyle w:val="NormalWeb"/>
        <w:shd w:val="clear" w:color="auto" w:fill="FFFFFF"/>
        <w:spacing w:before="0" w:beforeAutospacing="0" w:after="150" w:afterAutospacing="0"/>
        <w:jc w:val="both"/>
        <w:rPr>
          <w:rFonts w:ascii="Arial" w:hAnsi="Arial" w:cs="Arial"/>
        </w:rPr>
      </w:pPr>
      <w:r>
        <w:rPr>
          <w:rFonts w:ascii="Arial" w:hAnsi="Arial" w:cs="Arial"/>
        </w:rPr>
        <w:t xml:space="preserve">Si el estudiante no acata el plazo establecido </w:t>
      </w:r>
      <w:r w:rsidR="00DD5920">
        <w:rPr>
          <w:rFonts w:ascii="Arial" w:hAnsi="Arial" w:cs="Arial"/>
        </w:rPr>
        <w:t xml:space="preserve">de cada costo educativo, si es menor de edad se le llamará al acudiente para que presente fórmulas de arreglo, y si es mayor de edad, no se le permitirá asistir a clases sino que se le colocará al estudiante un profesor personalizado en un salón aparte para que este pendiente de él dentro del Colegio. </w:t>
      </w:r>
    </w:p>
    <w:p w:rsidR="00394A23" w:rsidRDefault="00394A23" w:rsidP="008406AC">
      <w:pPr>
        <w:pStyle w:val="NormalWeb"/>
        <w:shd w:val="clear" w:color="auto" w:fill="FFFFFF"/>
        <w:spacing w:before="0" w:beforeAutospacing="0" w:after="150" w:afterAutospacing="0"/>
        <w:jc w:val="both"/>
        <w:rPr>
          <w:rFonts w:ascii="Arial" w:hAnsi="Arial" w:cs="Arial"/>
        </w:rPr>
      </w:pPr>
      <w:r>
        <w:rPr>
          <w:rFonts w:ascii="Arial" w:hAnsi="Arial" w:cs="Arial"/>
        </w:rPr>
        <w:t xml:space="preserve">En cuanto al pago de la escuela de padres de familia se comenzará a exigir el pago, apenas se conforme la escuela de padres de familia. </w:t>
      </w:r>
    </w:p>
    <w:p w:rsidR="008406AC" w:rsidRDefault="008406AC" w:rsidP="00C03802">
      <w:pPr>
        <w:pStyle w:val="NormalWeb"/>
        <w:shd w:val="clear" w:color="auto" w:fill="FFFFFF"/>
        <w:spacing w:before="0" w:beforeAutospacing="0" w:after="150" w:afterAutospacing="0"/>
        <w:jc w:val="both"/>
        <w:rPr>
          <w:rFonts w:ascii="Arial" w:hAnsi="Arial" w:cs="Arial"/>
        </w:rPr>
      </w:pPr>
    </w:p>
    <w:p w:rsidR="00C81192" w:rsidRDefault="00C81192"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DD5920" w:rsidRDefault="00DD5920" w:rsidP="00C03802">
      <w:pPr>
        <w:pStyle w:val="NormalWeb"/>
        <w:shd w:val="clear" w:color="auto" w:fill="FFFFFF"/>
        <w:spacing w:before="0" w:beforeAutospacing="0" w:after="150" w:afterAutospacing="0"/>
        <w:jc w:val="both"/>
        <w:rPr>
          <w:rFonts w:ascii="Arial" w:hAnsi="Arial" w:cs="Arial"/>
        </w:rPr>
      </w:pPr>
    </w:p>
    <w:p w:rsidR="00B40D74" w:rsidRPr="00C920D7" w:rsidRDefault="00C920D7"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De esta manera, </w:t>
      </w: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C03802" w:rsidRDefault="00C03802" w:rsidP="00BB1D63">
      <w:pPr>
        <w:jc w:val="center"/>
        <w:rPr>
          <w:rFonts w:ascii="Arial" w:hAnsi="Arial" w:cs="Arial"/>
          <w:b/>
          <w:sz w:val="24"/>
        </w:rPr>
      </w:pPr>
      <w:r w:rsidRPr="00C03802">
        <w:rPr>
          <w:rFonts w:ascii="Arial" w:hAnsi="Arial" w:cs="Arial"/>
          <w:b/>
          <w:sz w:val="24"/>
        </w:rPr>
        <w:t>RESUELVE</w:t>
      </w:r>
    </w:p>
    <w:p w:rsidR="00730575" w:rsidRPr="00BB1D63" w:rsidRDefault="00730575" w:rsidP="00BB1D63">
      <w:pPr>
        <w:jc w:val="center"/>
        <w:rPr>
          <w:rFonts w:ascii="Arial" w:hAnsi="Arial" w:cs="Arial"/>
          <w:b/>
          <w:sz w:val="24"/>
        </w:rPr>
      </w:pP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C920D7">
        <w:rPr>
          <w:rFonts w:ascii="Arial" w:hAnsi="Arial" w:cs="Arial"/>
          <w:sz w:val="24"/>
        </w:rPr>
        <w:t xml:space="preserve">Reconocer </w:t>
      </w:r>
      <w:r w:rsidR="004C495D">
        <w:rPr>
          <w:rFonts w:ascii="Arial" w:hAnsi="Arial" w:cs="Arial"/>
          <w:sz w:val="24"/>
        </w:rPr>
        <w:t xml:space="preserve">la modalidad de costos educativos implementados por el Colegio Mahatma Gandhi. </w:t>
      </w:r>
      <w:r w:rsidR="00C920D7">
        <w:rPr>
          <w:rFonts w:ascii="Arial" w:hAnsi="Arial" w:cs="Arial"/>
          <w:sz w:val="24"/>
        </w:rPr>
        <w:t xml:space="preserve"> </w:t>
      </w:r>
    </w:p>
    <w:p w:rsidR="00B40D74" w:rsidRPr="00C920D7"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4C495D">
        <w:rPr>
          <w:rFonts w:ascii="Arial" w:hAnsi="Arial" w:cs="Arial"/>
        </w:rPr>
        <w:t>Eximir de pago a los estudiantes egresados que voluntariamente decidieron repetir el grado once en el Colegio Mahatma Gandhi</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w:t>
      </w:r>
      <w:r w:rsidR="004C495D">
        <w:rPr>
          <w:rFonts w:ascii="Arial" w:hAnsi="Arial" w:cs="Arial"/>
          <w:sz w:val="24"/>
        </w:rPr>
        <w:t xml:space="preserve">Reconocer el valor de los derechos de grado en igualdad de condiciones para los estudiantes de 9 y 11 de bachillerato. </w:t>
      </w:r>
      <w:r w:rsidR="00C920D7">
        <w:rPr>
          <w:rFonts w:ascii="Arial" w:hAnsi="Arial" w:cs="Arial"/>
          <w:sz w:val="24"/>
        </w:rPr>
        <w:t xml:space="preserve">  </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4C495D">
        <w:rPr>
          <w:rFonts w:ascii="Arial" w:hAnsi="Arial" w:cs="Arial"/>
          <w:sz w:val="24"/>
        </w:rPr>
        <w:t xml:space="preserve">Exponer la presente resolución en la cartelera informativa del Colegio Mahatma Gandhi, para el conocimiento de los estudiantes, padres de familia, docente, directivos docentes y personal administrativo del Colegio. </w:t>
      </w:r>
      <w:r w:rsidR="00C920D7" w:rsidRPr="00C920D7">
        <w:rPr>
          <w:rFonts w:ascii="Arial" w:hAnsi="Arial" w:cs="Arial"/>
          <w:i/>
          <w:sz w:val="24"/>
        </w:rPr>
        <w:t xml:space="preserve"> </w:t>
      </w:r>
      <w:r w:rsidR="00BB1D63" w:rsidRPr="00C920D7">
        <w:rPr>
          <w:rFonts w:ascii="Arial" w:hAnsi="Arial" w:cs="Arial"/>
          <w:i/>
          <w:sz w:val="24"/>
        </w:rPr>
        <w:t xml:space="preserve"> </w:t>
      </w:r>
    </w:p>
    <w:p w:rsidR="00BB1D63" w:rsidRDefault="004C495D" w:rsidP="00C03802">
      <w:pPr>
        <w:jc w:val="both"/>
        <w:rPr>
          <w:rFonts w:ascii="Arial" w:hAnsi="Arial" w:cs="Arial"/>
          <w:sz w:val="24"/>
        </w:rPr>
      </w:pPr>
      <w:r>
        <w:rPr>
          <w:rFonts w:ascii="Arial" w:hAnsi="Arial" w:cs="Arial"/>
          <w:b/>
          <w:sz w:val="24"/>
        </w:rPr>
        <w:t>QUINTO</w:t>
      </w:r>
      <w:r w:rsidR="00B40D74">
        <w:rPr>
          <w:rFonts w:ascii="Arial" w:hAnsi="Arial" w:cs="Arial"/>
          <w:sz w:val="24"/>
        </w:rPr>
        <w:t xml:space="preserve">: </w:t>
      </w:r>
      <w:r w:rsidR="00BB1D63">
        <w:rPr>
          <w:rFonts w:ascii="Arial" w:hAnsi="Arial" w:cs="Arial"/>
          <w:sz w:val="24"/>
        </w:rPr>
        <w:t>La presente resoluci</w:t>
      </w:r>
      <w:r w:rsidR="00E9529B">
        <w:rPr>
          <w:rFonts w:ascii="Arial" w:hAnsi="Arial" w:cs="Arial"/>
          <w:sz w:val="24"/>
        </w:rPr>
        <w:t>ón rectoral rige a partir del 1</w:t>
      </w:r>
      <w:r>
        <w:rPr>
          <w:rFonts w:ascii="Arial" w:hAnsi="Arial" w:cs="Arial"/>
          <w:sz w:val="24"/>
        </w:rPr>
        <w:t>5</w:t>
      </w:r>
      <w:r w:rsidR="00BB1D63">
        <w:rPr>
          <w:rFonts w:ascii="Arial" w:hAnsi="Arial" w:cs="Arial"/>
          <w:sz w:val="24"/>
        </w:rPr>
        <w:t xml:space="preserve"> de mayo del 2018.</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6">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202C2"/>
    <w:rsid w:val="00180A1B"/>
    <w:rsid w:val="001D7F57"/>
    <w:rsid w:val="002B36FB"/>
    <w:rsid w:val="00394A23"/>
    <w:rsid w:val="003E2BC7"/>
    <w:rsid w:val="00454D76"/>
    <w:rsid w:val="004C495D"/>
    <w:rsid w:val="005101F4"/>
    <w:rsid w:val="0059099B"/>
    <w:rsid w:val="005F4254"/>
    <w:rsid w:val="005F5100"/>
    <w:rsid w:val="006C60E5"/>
    <w:rsid w:val="0070039C"/>
    <w:rsid w:val="00720DDC"/>
    <w:rsid w:val="00730575"/>
    <w:rsid w:val="007D6F9A"/>
    <w:rsid w:val="008406AC"/>
    <w:rsid w:val="00860DFA"/>
    <w:rsid w:val="009200A4"/>
    <w:rsid w:val="009C41CB"/>
    <w:rsid w:val="00A23F27"/>
    <w:rsid w:val="00AA6835"/>
    <w:rsid w:val="00B40D74"/>
    <w:rsid w:val="00B86958"/>
    <w:rsid w:val="00BB1D63"/>
    <w:rsid w:val="00BF4449"/>
    <w:rsid w:val="00C03802"/>
    <w:rsid w:val="00C81192"/>
    <w:rsid w:val="00C920D7"/>
    <w:rsid w:val="00D16A86"/>
    <w:rsid w:val="00DB08C7"/>
    <w:rsid w:val="00DD5920"/>
    <w:rsid w:val="00E22CEB"/>
    <w:rsid w:val="00E9529B"/>
    <w:rsid w:val="00EF2460"/>
    <w:rsid w:val="00F240BA"/>
    <w:rsid w:val="00F620E8"/>
    <w:rsid w:val="00FA2A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637</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14</cp:revision>
  <cp:lastPrinted>2018-05-18T15:40:00Z</cp:lastPrinted>
  <dcterms:created xsi:type="dcterms:W3CDTF">2018-05-18T15:13:00Z</dcterms:created>
  <dcterms:modified xsi:type="dcterms:W3CDTF">2018-05-28T14:54:00Z</dcterms:modified>
</cp:coreProperties>
</file>